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4CBDDFC" w:rsidR="00BE6C37" w:rsidRPr="00152793" w:rsidRDefault="00000000" w:rsidP="00570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color w:val="000000"/>
          <w:sz w:val="32"/>
          <w:szCs w:val="32"/>
        </w:rPr>
      </w:pPr>
      <w:r w:rsidRPr="00152793">
        <w:rPr>
          <w:b/>
          <w:color w:val="000000"/>
          <w:sz w:val="32"/>
          <w:szCs w:val="32"/>
        </w:rPr>
        <w:t xml:space="preserve">Az emberierőforrás-menedzsment legújabb nemzetközi és regionális sajátosságai </w:t>
      </w:r>
      <w:r w:rsidR="005708AF" w:rsidRPr="00152793">
        <w:rPr>
          <w:color w:val="000000"/>
          <w:sz w:val="32"/>
          <w:szCs w:val="32"/>
        </w:rPr>
        <w:t xml:space="preserve"> </w:t>
      </w:r>
      <w:r w:rsidRPr="00152793">
        <w:rPr>
          <w:b/>
          <w:color w:val="000000"/>
          <w:sz w:val="32"/>
          <w:szCs w:val="32"/>
        </w:rPr>
        <w:t>a CRANET kutatás fényébe</w:t>
      </w:r>
      <w:r w:rsidR="005708AF" w:rsidRPr="00152793">
        <w:rPr>
          <w:b/>
          <w:color w:val="000000"/>
          <w:sz w:val="32"/>
          <w:szCs w:val="32"/>
        </w:rPr>
        <w:t>n</w:t>
      </w:r>
    </w:p>
    <w:p w14:paraId="00000003" w14:textId="1DFD4EB5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(Poór József</w:t>
      </w:r>
      <w:r w:rsidRPr="00152793">
        <w:rPr>
          <w:color w:val="000000"/>
          <w:sz w:val="24"/>
          <w:szCs w:val="24"/>
          <w:vertAlign w:val="superscript"/>
        </w:rPr>
        <w:footnoteReference w:id="1"/>
      </w:r>
      <w:r w:rsidRPr="00152793">
        <w:rPr>
          <w:color w:val="000000"/>
          <w:sz w:val="24"/>
          <w:szCs w:val="24"/>
        </w:rPr>
        <w:t>- Jarjabka Ákos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2"/>
      </w:r>
      <w:r w:rsidRPr="00152793">
        <w:rPr>
          <w:color w:val="000000"/>
          <w:sz w:val="24"/>
          <w:szCs w:val="24"/>
        </w:rPr>
        <w:t xml:space="preserve"> - Balogh Gábor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3"/>
      </w:r>
      <w:r w:rsidRPr="00152793">
        <w:rPr>
          <w:color w:val="000000"/>
          <w:sz w:val="24"/>
          <w:szCs w:val="24"/>
        </w:rPr>
        <w:t xml:space="preserve"> - Szabó Katalin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4"/>
      </w:r>
      <w:r w:rsidRPr="00152793">
        <w:rPr>
          <w:color w:val="000000"/>
          <w:sz w:val="24"/>
          <w:szCs w:val="24"/>
        </w:rPr>
        <w:t xml:space="preserve"> - </w:t>
      </w:r>
      <w:r w:rsidRPr="00152793">
        <w:rPr>
          <w:sz w:val="24"/>
          <w:szCs w:val="24"/>
        </w:rPr>
        <w:t>Kőmüves Zsolt</w:t>
      </w:r>
      <w:r w:rsidR="00682EBC" w:rsidRPr="00152793">
        <w:rPr>
          <w:rStyle w:val="Lbjegyzet-hivatkozs"/>
          <w:sz w:val="24"/>
          <w:szCs w:val="24"/>
        </w:rPr>
        <w:footnoteReference w:id="5"/>
      </w:r>
      <w:r w:rsidRPr="00152793">
        <w:rPr>
          <w:color w:val="FF0000"/>
          <w:sz w:val="24"/>
          <w:szCs w:val="24"/>
        </w:rPr>
        <w:t xml:space="preserve"> </w:t>
      </w:r>
      <w:r w:rsidRPr="00152793">
        <w:rPr>
          <w:sz w:val="24"/>
          <w:szCs w:val="24"/>
        </w:rPr>
        <w:t xml:space="preserve">- </w:t>
      </w:r>
      <w:r w:rsidRPr="00152793">
        <w:rPr>
          <w:color w:val="000000"/>
          <w:sz w:val="24"/>
          <w:szCs w:val="24"/>
        </w:rPr>
        <w:t>Szabó-Szentgróti Gábor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6"/>
      </w:r>
      <w:r w:rsidRPr="00152793">
        <w:rPr>
          <w:color w:val="000000"/>
          <w:sz w:val="24"/>
          <w:szCs w:val="24"/>
        </w:rPr>
        <w:t xml:space="preserve"> - Galambosné Tiszberger Mónika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7"/>
      </w:r>
      <w:r w:rsidRPr="00152793">
        <w:rPr>
          <w:color w:val="000000"/>
          <w:sz w:val="24"/>
          <w:szCs w:val="24"/>
        </w:rPr>
        <w:t xml:space="preserve"> - Karoliny Mártonné</w:t>
      </w:r>
      <w:r w:rsidR="00682EBC" w:rsidRPr="00152793">
        <w:rPr>
          <w:rStyle w:val="Lbjegyzet-hivatkozs"/>
          <w:color w:val="000000"/>
          <w:sz w:val="24"/>
          <w:szCs w:val="24"/>
        </w:rPr>
        <w:footnoteReference w:id="8"/>
      </w:r>
      <w:r w:rsidRPr="00152793">
        <w:rPr>
          <w:color w:val="000000"/>
          <w:sz w:val="24"/>
          <w:szCs w:val="24"/>
        </w:rPr>
        <w:t>)</w:t>
      </w:r>
    </w:p>
    <w:p w14:paraId="00000004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0000005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Az   </w:t>
      </w:r>
      <w:r w:rsidRPr="00152793">
        <w:rPr>
          <w:sz w:val="24"/>
          <w:szCs w:val="24"/>
        </w:rPr>
        <w:t>emberierőforrás</w:t>
      </w:r>
      <w:r w:rsidRPr="00152793">
        <w:rPr>
          <w:color w:val="000000"/>
          <w:sz w:val="24"/>
          <w:szCs w:val="24"/>
        </w:rPr>
        <w:t xml:space="preserve">-menedzsment (EEM/HRM) </w:t>
      </w:r>
      <w:r w:rsidRPr="00152793">
        <w:rPr>
          <w:sz w:val="24"/>
          <w:szCs w:val="24"/>
        </w:rPr>
        <w:t>világ tendenciáinak</w:t>
      </w:r>
      <w:r w:rsidRPr="00152793">
        <w:rPr>
          <w:color w:val="000000"/>
          <w:sz w:val="24"/>
          <w:szCs w:val="24"/>
        </w:rPr>
        <w:t xml:space="preserve"> felvázolása, a cégek, intézmények gyakorlatának országok, régiók, kontinensek szerint aggregált adatainak vizsgálatát igényli. Ezen túl, a változási irányok, tendenciák megragadása rendszeresen végzett, az összehasonlítás lehetőségét biztosító felmérésekre kell, hogy építsen. Ilyen lehetőséget kínál az a nemzetközi kutatási hálózat - a CRANET -, </w:t>
      </w:r>
      <w:r w:rsidRPr="00152793">
        <w:rPr>
          <w:sz w:val="24"/>
          <w:szCs w:val="24"/>
        </w:rPr>
        <w:t>amelynek</w:t>
      </w:r>
      <w:r w:rsidRPr="00152793">
        <w:rPr>
          <w:color w:val="000000"/>
          <w:sz w:val="24"/>
          <w:szCs w:val="24"/>
        </w:rPr>
        <w:t xml:space="preserve"> Magyarország is tagja. E hálózat fennállásának több évtizede alatt végzett munkájával az egyre növekvő számú tagország kutatóinak hozzájárulása révén már nemcsak az HR európai jellemzőit képes megragadni, hanem egyre inkább a globális hasonlóságok és különbözőségek időbe</w:t>
      </w:r>
      <w:r w:rsidRPr="00152793">
        <w:rPr>
          <w:sz w:val="24"/>
          <w:szCs w:val="24"/>
        </w:rPr>
        <w:t>l</w:t>
      </w:r>
      <w:r w:rsidRPr="00152793">
        <w:rPr>
          <w:color w:val="000000"/>
          <w:sz w:val="24"/>
          <w:szCs w:val="24"/>
        </w:rPr>
        <w:t>i és térbe</w:t>
      </w:r>
      <w:r w:rsidRPr="00152793">
        <w:rPr>
          <w:sz w:val="24"/>
          <w:szCs w:val="24"/>
        </w:rPr>
        <w:t>l</w:t>
      </w:r>
      <w:r w:rsidRPr="00152793">
        <w:rPr>
          <w:color w:val="000000"/>
          <w:sz w:val="24"/>
          <w:szCs w:val="24"/>
        </w:rPr>
        <w:t>i alakulását is nyomon követhetővé teszi. Ennek egy legújabb állomása az a kutatási jelentés, amely a legutóbbi, a 2021/22-ben végzett felmérés hangsúlyos sajátosságait összegzi. Ez a világ 38 CRANET-tagországából beérkezett, 5899 válaszadó szervezet HR felelőse által kitöltött kérdőív adatait a globális értékek mellett hét földrajzi régiót képezve is vizsgálja. Cikkünkben e megállapításokból emelünk ki néhány sajátosságot, érdekességet.</w:t>
      </w:r>
    </w:p>
    <w:p w14:paraId="00000006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7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b/>
          <w:color w:val="000000"/>
          <w:sz w:val="24"/>
          <w:szCs w:val="24"/>
        </w:rPr>
        <w:t>A CRANET</w:t>
      </w:r>
    </w:p>
    <w:p w14:paraId="00000008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9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 hálózat mára a világ több mint 40 országának egyetemein dolgozó oktatók-kutatók közös érdeklődésére és elkötelezettségére alapozva az 1989-es első felmérés óta immáron kilenc alkalommal gyűjtött adatokat eleinte Európa, majd a világ többi földrészén működő közepes és nagyméretű szervezeteinek HR gyakorlatáról. A több mint harminc éve működő CRANET hálózat így azon kevés nemzetközi kutatószervezetek egyike, amelyek ismételt felmérései nemcsak térbeli, hanem időbeli összehasonlítás</w:t>
      </w:r>
      <w:r w:rsidRPr="00152793">
        <w:rPr>
          <w:sz w:val="24"/>
          <w:szCs w:val="24"/>
        </w:rPr>
        <w:t>i</w:t>
      </w:r>
      <w:r w:rsidRPr="00152793">
        <w:rPr>
          <w:color w:val="000000"/>
          <w:sz w:val="24"/>
          <w:szCs w:val="24"/>
        </w:rPr>
        <w:t>, elemzés</w:t>
      </w:r>
      <w:r w:rsidRPr="00152793">
        <w:rPr>
          <w:sz w:val="24"/>
          <w:szCs w:val="24"/>
        </w:rPr>
        <w:t>i lehetőségeket</w:t>
      </w:r>
      <w:r w:rsidRPr="00152793">
        <w:rPr>
          <w:color w:val="000000"/>
          <w:sz w:val="24"/>
          <w:szCs w:val="24"/>
        </w:rPr>
        <w:t xml:space="preserve"> is kínálnak (Lazarova </w:t>
      </w:r>
      <w:r w:rsidRPr="00152793">
        <w:rPr>
          <w:color w:val="000000"/>
          <w:sz w:val="24"/>
          <w:szCs w:val="24"/>
        </w:rPr>
        <w:lastRenderedPageBreak/>
        <w:t>et al., 2008). A hálózat adatbázisa mára összesen több, mint 57 000 válaszadó szervezet adatait tartalmazza.</w:t>
      </w:r>
    </w:p>
    <w:p w14:paraId="0000000A" w14:textId="37F97364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E hálózatnak Európában ma már szinte minden ország, így Magyarország is tagja. Hazánk képviseletében a Pécsi Tudományegyetem Közgazdaságtudományi Karának</w:t>
      </w:r>
      <w:r w:rsidR="00682EBC" w:rsidRPr="00152793">
        <w:rPr>
          <w:color w:val="000000"/>
          <w:sz w:val="24"/>
          <w:szCs w:val="24"/>
        </w:rPr>
        <w:t xml:space="preserve"> (PTE)</w:t>
      </w:r>
      <w:r w:rsidRPr="00152793">
        <w:rPr>
          <w:color w:val="000000"/>
          <w:sz w:val="24"/>
          <w:szCs w:val="24"/>
        </w:rPr>
        <w:t xml:space="preserve"> kutatói 2004-től, a Magyar Agrár- és Élelmiszertudományi Egyetem Agrár- és Élelmiszergazdaságtani Intézete </w:t>
      </w:r>
      <w:r w:rsidR="00682EBC" w:rsidRPr="00152793">
        <w:rPr>
          <w:color w:val="000000"/>
          <w:sz w:val="24"/>
          <w:szCs w:val="24"/>
        </w:rPr>
        <w:t xml:space="preserve">(MATE) </w:t>
      </w:r>
      <w:r w:rsidRPr="00152793">
        <w:rPr>
          <w:color w:val="000000"/>
          <w:sz w:val="24"/>
          <w:szCs w:val="24"/>
        </w:rPr>
        <w:t xml:space="preserve">munkatársai 2011 óta végeznek munkát. </w:t>
      </w:r>
    </w:p>
    <w:p w14:paraId="0000000B" w14:textId="3C42E666" w:rsidR="00BE6C37" w:rsidRPr="00152793" w:rsidRDefault="005708AF" w:rsidP="00682E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152793">
        <w:rPr>
          <w:noProof/>
        </w:rPr>
        <w:drawing>
          <wp:inline distT="0" distB="0" distL="0" distR="0" wp14:anchorId="50ED1F41" wp14:editId="635E85E1">
            <wp:extent cx="3116580" cy="1470660"/>
            <wp:effectExtent l="0" t="0" r="7620" b="0"/>
            <wp:docPr id="1318861155" name="Kép 1" descr="OUR EVENTS | University of Pécs - Faculty of Business and Econ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EVENTS | University of Pécs - Faculty of Business and Econom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C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b/>
          <w:color w:val="000000"/>
          <w:sz w:val="24"/>
          <w:szCs w:val="24"/>
        </w:rPr>
        <w:t>Nemzetközi jellemzők és regionális sajátosságok az emberierőforrás</w:t>
      </w:r>
      <w:r w:rsidRPr="00152793">
        <w:rPr>
          <w:b/>
          <w:sz w:val="24"/>
          <w:szCs w:val="24"/>
        </w:rPr>
        <w:t>-</w:t>
      </w:r>
      <w:r w:rsidRPr="00152793">
        <w:rPr>
          <w:b/>
          <w:color w:val="000000"/>
          <w:sz w:val="24"/>
          <w:szCs w:val="24"/>
        </w:rPr>
        <w:t>menedzsment (EEM/HR) kulcsterületein</w:t>
      </w:r>
    </w:p>
    <w:p w14:paraId="0000000D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E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152793">
        <w:rPr>
          <w:color w:val="000000"/>
          <w:sz w:val="24"/>
          <w:szCs w:val="24"/>
        </w:rPr>
        <w:t>A következőkben tehát a 2021-2022 CRANET-felmérés sajátosságait vizsgáló nemzetközi jelentésre alapozva mutatunk be néhány figyelemre érdemes fejleményt a HR-munkát végző szereplők (továbbiakban: HR-esek) kapcsán tapasztalt és bizonyos HR kulcsfunkciók gyakorlatában jellemzőnek talált regionálisan hasonló, vagy éppen az eltérő megoldások közül. A jelentés a világ 38 CRANET-tagországából beérkezett, 5899 válaszadó HR felelőse által kitöltött standardizált kérdőív adatait a globális értékek mellett hét földrajzi régiót képezve vizsgálja, melyek: Észak-Amerika (2</w:t>
      </w:r>
      <w:r w:rsidRPr="00152793">
        <w:rPr>
          <w:sz w:val="24"/>
          <w:szCs w:val="24"/>
        </w:rPr>
        <w:t>;</w:t>
      </w:r>
      <w:r w:rsidRPr="00152793">
        <w:rPr>
          <w:color w:val="000000"/>
          <w:sz w:val="24"/>
          <w:szCs w:val="24"/>
        </w:rPr>
        <w:t xml:space="preserve"> Kanada, </w:t>
      </w:r>
      <w:r w:rsidRPr="00152793">
        <w:rPr>
          <w:sz w:val="24"/>
          <w:szCs w:val="24"/>
        </w:rPr>
        <w:t>Amerikai Egyesült Államok)</w:t>
      </w:r>
      <w:r w:rsidRPr="00152793">
        <w:rPr>
          <w:color w:val="000000"/>
          <w:sz w:val="24"/>
          <w:szCs w:val="24"/>
        </w:rPr>
        <w:t>; Latin-Amerika (4; Brazília, Chile, Mexikó, Venezuela); EU-15 (9</w:t>
      </w:r>
      <w:r w:rsidRPr="00152793">
        <w:rPr>
          <w:sz w:val="24"/>
          <w:szCs w:val="24"/>
        </w:rPr>
        <w:t>;</w:t>
      </w:r>
      <w:r w:rsidRPr="00152793">
        <w:rPr>
          <w:color w:val="000000"/>
          <w:sz w:val="24"/>
          <w:szCs w:val="24"/>
        </w:rPr>
        <w:t xml:space="preserve"> a</w:t>
      </w:r>
      <w:r w:rsidRPr="00152793">
        <w:rPr>
          <w:sz w:val="24"/>
          <w:szCs w:val="24"/>
        </w:rPr>
        <w:t>z</w:t>
      </w:r>
      <w:r w:rsidRPr="00152793">
        <w:rPr>
          <w:color w:val="000000"/>
          <w:sz w:val="24"/>
          <w:szCs w:val="24"/>
        </w:rPr>
        <w:t xml:space="preserve"> Európai Unióhoz (EU) 2004 előtt</w:t>
      </w:r>
      <w:r w:rsidRPr="00152793">
        <w:rPr>
          <w:sz w:val="24"/>
          <w:szCs w:val="24"/>
        </w:rPr>
        <w:t xml:space="preserve"> csatlakozott</w:t>
      </w:r>
      <w:r w:rsidRPr="00152793">
        <w:rPr>
          <w:color w:val="000000"/>
          <w:sz w:val="24"/>
          <w:szCs w:val="24"/>
        </w:rPr>
        <w:t xml:space="preserve"> tagország); EU-13 (10, az EU-hoz 2004-től csatlakozott, főként volt szocialista ország így pl. Magyarország); az </w:t>
      </w:r>
      <w:r w:rsidRPr="00152793">
        <w:rPr>
          <w:sz w:val="24"/>
          <w:szCs w:val="24"/>
        </w:rPr>
        <w:t xml:space="preserve">EU-n kívüli </w:t>
      </w:r>
      <w:r w:rsidRPr="00152793">
        <w:rPr>
          <w:color w:val="000000"/>
          <w:sz w:val="24"/>
          <w:szCs w:val="24"/>
        </w:rPr>
        <w:t xml:space="preserve">Európa más országai </w:t>
      </w:r>
      <w:r w:rsidRPr="00152793">
        <w:rPr>
          <w:sz w:val="24"/>
          <w:szCs w:val="24"/>
        </w:rPr>
        <w:t>(rövidítve:Emo) (4; Izland, Norvégia, Egyesült Királyság, Svájc); Dél-kelet Európa / Nyugat-Ázsia (6; Bosznia-Hercegovina, Szerbia / Izrael, Nepál, Törökország, Üzbegisztán); Ázsia-Csendes óceáni (APAC) térség (3; Japán, Kína, Ausztrália).</w:t>
      </w:r>
    </w:p>
    <w:p w14:paraId="0000000F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000010" w14:textId="77777777" w:rsidR="00BE6C37" w:rsidRPr="00152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b/>
          <w:color w:val="000000"/>
          <w:sz w:val="24"/>
          <w:szCs w:val="24"/>
        </w:rPr>
        <w:t>A belső és külső HR-esek szervezeti életben betöltött szerepe, jelentősége</w:t>
      </w:r>
    </w:p>
    <w:p w14:paraId="00000011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00000012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152793">
        <w:rPr>
          <w:color w:val="000000"/>
          <w:sz w:val="24"/>
          <w:szCs w:val="24"/>
        </w:rPr>
        <w:t xml:space="preserve">A belső HR-es munkatársak szervezeti helyének, szerepének, hatékonyságának alakulásáról kaphatunk átfogó képet egy olyan mérőszám segítségével, amely </w:t>
      </w:r>
      <w:r w:rsidRPr="00152793">
        <w:rPr>
          <w:i/>
          <w:color w:val="000000"/>
          <w:sz w:val="24"/>
          <w:szCs w:val="24"/>
        </w:rPr>
        <w:t>a HR-esek teljes alkalmazotti létszámhoz viszonyított arányát</w:t>
      </w:r>
      <w:r w:rsidRPr="00152793">
        <w:rPr>
          <w:color w:val="000000"/>
          <w:sz w:val="24"/>
          <w:szCs w:val="24"/>
        </w:rPr>
        <w:t xml:space="preserve"> mutatja. A szakmai köztudatban sokáig élt az a vélekedés, hogy </w:t>
      </w:r>
      <w:r w:rsidRPr="00152793">
        <w:rPr>
          <w:color w:val="000000"/>
          <w:sz w:val="24"/>
          <w:szCs w:val="24"/>
        </w:rPr>
        <w:lastRenderedPageBreak/>
        <w:t>az egy HR-es munkatárs által kiszolgált alkalmazottak – sok szervezeten belüli és kívüli tényező által befolyásoltan változó, ám hüvelykujjszabályként átlagosnak – tekinthető létszáma: 100 fő.   A hivatkozott jelentésben vizsgált arányszám</w:t>
      </w:r>
      <w:r w:rsidRPr="00152793">
        <w:rPr>
          <w:color w:val="000000"/>
          <w:sz w:val="24"/>
          <w:szCs w:val="24"/>
          <w:vertAlign w:val="superscript"/>
        </w:rPr>
        <w:footnoteReference w:id="9"/>
      </w:r>
      <w:r w:rsidRPr="00152793">
        <w:rPr>
          <w:color w:val="000000"/>
          <w:sz w:val="24"/>
          <w:szCs w:val="24"/>
        </w:rPr>
        <w:t xml:space="preserve"> (HR-to-employee ratio) az előző közelítés inverzeként, a 100 főnyi teljes munkaidős alkalmazottra jutó HR-esek számát mutatja. Ennek az előbbi példa szerinti értéke:1. </w:t>
      </w:r>
    </w:p>
    <w:p w14:paraId="00000013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mutató e felmérés szerinti globális átlagértéke azonban a sokáig benchmark-ként elfogadott értéknél jóval magasabb: 1,86. Mindezt </w:t>
      </w:r>
      <w:r w:rsidRPr="00152793">
        <w:rPr>
          <w:sz w:val="24"/>
          <w:szCs w:val="24"/>
        </w:rPr>
        <w:t>ú</w:t>
      </w:r>
      <w:r w:rsidRPr="00152793">
        <w:rPr>
          <w:color w:val="000000"/>
          <w:sz w:val="24"/>
          <w:szCs w:val="24"/>
        </w:rPr>
        <w:t xml:space="preserve">gy, hogy a mutató mind a hét vizsgált régióban az 1-es érték feletti. A legalacsonyabb arányszámok (1,55-1,6) a két EU-régióban, míg a legmagasabbak (2,58) Latin-Amerikában jellemzőek. </w:t>
      </w:r>
    </w:p>
    <w:p w14:paraId="00000014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Ezek az empirikus értékek azt jelzik tehát, hogy a HR-es részleg munkatársaitól várt hatékonyságjavulással szemben a világban bekövetkezett változások (COVID-19, a munkaerőpiac feszessége stb.) és a szervezetek tehetségmegszerzési és -megtartási kihívásainak kezelése eredményeként annak éppen az ellenkezője következett be. Egy HR-es világátlagban ugyanis nem 100, hanem csak 54 fő teljes munkaidős alkalmazott ügyeit intézi. Európa országaiban ez az átlagérték kissé magasabb, hiszen itt egy HR-es mintegy 65 fő, míg Latin-Amerika CRANET tagországaiban kevesebb, mint 50 munkatárs megszerzésének, megtartásának és hatékony alkalmazásának tennivalóit látja el. </w:t>
      </w:r>
    </w:p>
    <w:p w14:paraId="00000015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HR-részleg szervezeten belüli fontosságát kifejező további három indikátorból (a HR-részleg létezése, a HR-felelős csúcsvezetésben elfoglalt helye és a HR-es üzleti stratégiakészítési folyamatban való részvétele) globálisan vizsgálva az első kettő kapcsán kapott eredmények a HR szervezeti fontosságának bizonyítékaként értékelhetőek, míg a friss empirikus eredmények a harmadik esetében annak épp ellenkezőjét jelzik. </w:t>
      </w:r>
    </w:p>
    <w:p w14:paraId="00000016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Konkrétan – az EU-13 kivételével – minden régió válaszadóinak több, mint 90%-a azt jelezte, hogy </w:t>
      </w:r>
      <w:r w:rsidRPr="00152793">
        <w:rPr>
          <w:i/>
          <w:color w:val="000000"/>
          <w:sz w:val="24"/>
          <w:szCs w:val="24"/>
        </w:rPr>
        <w:t>szervezete rendelkezik HR részleggel</w:t>
      </w:r>
      <w:r w:rsidRPr="00152793">
        <w:rPr>
          <w:color w:val="000000"/>
          <w:sz w:val="24"/>
          <w:szCs w:val="24"/>
        </w:rPr>
        <w:t xml:space="preserve">. </w:t>
      </w:r>
      <w:r w:rsidRPr="00152793">
        <w:rPr>
          <w:i/>
          <w:color w:val="000000"/>
          <w:sz w:val="24"/>
          <w:szCs w:val="24"/>
        </w:rPr>
        <w:t>A HR-felelős</w:t>
      </w:r>
      <w:r w:rsidRPr="00152793">
        <w:rPr>
          <w:color w:val="000000"/>
          <w:sz w:val="24"/>
          <w:szCs w:val="24"/>
        </w:rPr>
        <w:t xml:space="preserve"> globálisan a válaszadók 71%-nál </w:t>
      </w:r>
      <w:r w:rsidRPr="00152793">
        <w:rPr>
          <w:i/>
          <w:color w:val="000000"/>
          <w:sz w:val="24"/>
          <w:szCs w:val="24"/>
        </w:rPr>
        <w:t>tagja a felsővezetői teamnek</w:t>
      </w:r>
      <w:r w:rsidRPr="00152793">
        <w:rPr>
          <w:color w:val="000000"/>
          <w:sz w:val="24"/>
          <w:szCs w:val="24"/>
        </w:rPr>
        <w:t>. Ez az arányszám az EU-15 és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országokban a legmagasabb (80% körüli) és Délkelet-Európa és Nyugat-Ázsia, valamint az EU-13 régióban (melynek hazánk is tagja) a legalacsonyabb (</w:t>
      </w:r>
      <w:r w:rsidRPr="00152793">
        <w:rPr>
          <w:color w:val="000000"/>
          <w:sz w:val="22"/>
          <w:szCs w:val="22"/>
        </w:rPr>
        <w:t>60% alatti).</w:t>
      </w:r>
      <w:r w:rsidRPr="0015279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52793">
        <w:rPr>
          <w:color w:val="000000"/>
          <w:sz w:val="24"/>
          <w:szCs w:val="24"/>
        </w:rPr>
        <w:t>Kiemelésre érdemes, hogy a</w:t>
      </w:r>
      <w:r w:rsidRPr="0015279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52793">
        <w:rPr>
          <w:color w:val="000000"/>
          <w:sz w:val="24"/>
          <w:szCs w:val="24"/>
        </w:rPr>
        <w:t>HR vezetők hazánkban nemcsak a legkisebb, hanem a legnagyobb (1.000 fő feletti létszámú) szervezetek felsővezetésében is alul reprezentáltak.</w:t>
      </w:r>
    </w:p>
    <w:p w14:paraId="00000017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Az az indikátor, amely a HR-esek üzleti partner szerepének legkevésbé hasznosított voltát mutatja, </w:t>
      </w:r>
      <w:r w:rsidRPr="00152793">
        <w:rPr>
          <w:sz w:val="24"/>
          <w:szCs w:val="24"/>
        </w:rPr>
        <w:t>azaz</w:t>
      </w:r>
      <w:r w:rsidRPr="00152793">
        <w:rPr>
          <w:color w:val="000000"/>
          <w:sz w:val="24"/>
          <w:szCs w:val="24"/>
        </w:rPr>
        <w:t xml:space="preserve"> a </w:t>
      </w:r>
      <w:r w:rsidRPr="00152793">
        <w:rPr>
          <w:i/>
          <w:color w:val="000000"/>
          <w:sz w:val="24"/>
          <w:szCs w:val="24"/>
        </w:rPr>
        <w:t xml:space="preserve">HR-eseknek az üzleti stratégiakészítési folyamat kezdeti fázisaitól tartó </w:t>
      </w:r>
      <w:r w:rsidRPr="00152793">
        <w:rPr>
          <w:i/>
          <w:color w:val="000000"/>
          <w:sz w:val="24"/>
          <w:szCs w:val="24"/>
        </w:rPr>
        <w:lastRenderedPageBreak/>
        <w:t>bevontság</w:t>
      </w:r>
      <w:r w:rsidRPr="00152793">
        <w:rPr>
          <w:i/>
          <w:sz w:val="24"/>
          <w:szCs w:val="24"/>
        </w:rPr>
        <w:t>át</w:t>
      </w:r>
      <w:r w:rsidRPr="00152793">
        <w:rPr>
          <w:i/>
          <w:color w:val="000000"/>
          <w:sz w:val="24"/>
          <w:szCs w:val="24"/>
        </w:rPr>
        <w:t xml:space="preserve">. </w:t>
      </w:r>
      <w:r w:rsidRPr="00152793">
        <w:rPr>
          <w:color w:val="000000"/>
          <w:sz w:val="24"/>
          <w:szCs w:val="24"/>
        </w:rPr>
        <w:t xml:space="preserve">E tekintetben globálisan pozitív válasz ugyanis alig a szervezetek felétől érkezett, a legalacsonyabb (30-36%) értékek pedig főként az ázsiai régiók országaiban találhatók. </w:t>
      </w:r>
    </w:p>
    <w:p w14:paraId="00000018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 globális mintában szereplő szervezetek majdnem 80%-ánál létezik írott üzleti stratégia</w:t>
      </w:r>
      <w:r w:rsidRPr="00152793">
        <w:rPr>
          <w:sz w:val="24"/>
          <w:szCs w:val="24"/>
        </w:rPr>
        <w:t xml:space="preserve"> és</w:t>
      </w:r>
      <w:r w:rsidRPr="00152793">
        <w:rPr>
          <w:color w:val="000000"/>
          <w:sz w:val="24"/>
          <w:szCs w:val="24"/>
        </w:rPr>
        <w:t xml:space="preserve"> több mint 60%-uk </w:t>
      </w:r>
      <w:r w:rsidRPr="00152793">
        <w:rPr>
          <w:i/>
          <w:color w:val="000000"/>
          <w:sz w:val="24"/>
          <w:szCs w:val="24"/>
        </w:rPr>
        <w:t>írott HR stratégiával</w:t>
      </w:r>
      <w:r w:rsidRPr="00152793">
        <w:rPr>
          <w:color w:val="000000"/>
          <w:sz w:val="24"/>
          <w:szCs w:val="24"/>
        </w:rPr>
        <w:t xml:space="preserve"> is rendelkezik. Ez utóbbi tekintetében a legmagasabb értékek (</w:t>
      </w:r>
      <w:r w:rsidRPr="00152793">
        <w:rPr>
          <w:sz w:val="24"/>
          <w:szCs w:val="24"/>
        </w:rPr>
        <w:t>72-</w:t>
      </w:r>
      <w:r w:rsidRPr="00152793">
        <w:rPr>
          <w:color w:val="000000"/>
          <w:sz w:val="24"/>
          <w:szCs w:val="24"/>
        </w:rPr>
        <w:t>73%) Latin-Amerikából és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régióból érkeztek, a legalacsonyabbak (53-47%) pedig az EU-13 és az Ázsia-Pacific régióra jellemzőek.</w:t>
      </w:r>
    </w:p>
    <w:p w14:paraId="00000019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E témakörben végezetül a jelentés megállapítja, hogy az üzleti élet általános digitalizációjával összhangban az EEM digitalizálása is gyorsan teret hódít, ami azt mutatja, hogy e tekintetben az EEM sem marad el a más szervezeti funkciók </w:t>
      </w:r>
      <w:r w:rsidRPr="00152793">
        <w:rPr>
          <w:sz w:val="24"/>
          <w:szCs w:val="24"/>
        </w:rPr>
        <w:t>trendjeitől</w:t>
      </w:r>
      <w:r w:rsidRPr="00152793">
        <w:rPr>
          <w:color w:val="000000"/>
          <w:sz w:val="24"/>
          <w:szCs w:val="24"/>
        </w:rPr>
        <w:t>. A régiónkénti különbségek azonban e téren is erőteljesek, az élen álló régiók között több szempontból is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és az amerikai kontinensek országai találhatók. Az EU-15-ök gyakorlata nem kiemelkedő szintű, az EU-13-maké pedig még kevésbé. A hazai válaszadói körben a HR információs rendszer bizonyos elemeinek használata a válaszadók csupán szűk </w:t>
      </w:r>
      <w:r w:rsidRPr="00152793">
        <w:rPr>
          <w:sz w:val="24"/>
          <w:szCs w:val="24"/>
        </w:rPr>
        <w:t>körében</w:t>
      </w:r>
      <w:r w:rsidRPr="00152793">
        <w:rPr>
          <w:color w:val="000000"/>
          <w:sz w:val="24"/>
          <w:szCs w:val="24"/>
        </w:rPr>
        <w:t xml:space="preserve"> jellemző. </w:t>
      </w:r>
    </w:p>
    <w:p w14:paraId="0000001A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152793">
        <w:rPr>
          <w:color w:val="000000"/>
          <w:sz w:val="24"/>
          <w:szCs w:val="24"/>
        </w:rPr>
        <w:t xml:space="preserve">A </w:t>
      </w:r>
      <w:r w:rsidRPr="00152793">
        <w:rPr>
          <w:i/>
          <w:color w:val="000000"/>
          <w:sz w:val="24"/>
          <w:szCs w:val="24"/>
        </w:rPr>
        <w:t>HR Outsour</w:t>
      </w:r>
      <w:r w:rsidRPr="00152793">
        <w:rPr>
          <w:i/>
          <w:sz w:val="24"/>
          <w:szCs w:val="24"/>
        </w:rPr>
        <w:t>c</w:t>
      </w:r>
      <w:r w:rsidRPr="00152793">
        <w:rPr>
          <w:i/>
          <w:color w:val="000000"/>
          <w:sz w:val="24"/>
          <w:szCs w:val="24"/>
        </w:rPr>
        <w:t>ing</w:t>
      </w:r>
      <w:r w:rsidRPr="00152793">
        <w:rPr>
          <w:color w:val="000000"/>
          <w:sz w:val="24"/>
          <w:szCs w:val="24"/>
        </w:rPr>
        <w:t xml:space="preserve"> megoldások gyakorlatilag a külső szolgáltatók HR-munkában való részvételét fedik le. A jelentésben foglaltak szerint a külső tanácsadók, szolgáltatók igénybevétele HR-munka támogatására Európa nyugati és északi országaiban (EU-15 és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) a legmagasabb arányú szervezeti gyakorlat.  Az EU-13 országaiban, és főként a magyar válaszadók körében meglehetősen alacsony az ilyen gyakorlatról beszámoló szervezetek aránya. Érdekes tény, hogy a dedikált HR-részleggel rendelkező – nagyobb méretű – szervezetek magasabb arányban vesznek igénybe külső szolgáltatásokat (pl. HR tanácsadás, tréning stb.) mint a HR részleggel nem rendelkező válaszadók. A jellemzően kihelyezett HR tevékenységek között az élen a képzés és fejlesztés, a második helyen pedig a toborzás áll. Az a HR munka, melyet a válaszadók legkevésbé bíztak külső szolgáltatókra: a leépítés, a létszámcsökkentés. </w:t>
      </w:r>
    </w:p>
    <w:p w14:paraId="0000001B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C" w14:textId="77777777" w:rsidR="00BE6C37" w:rsidRPr="001527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b/>
          <w:color w:val="000000"/>
          <w:sz w:val="24"/>
          <w:szCs w:val="24"/>
        </w:rPr>
        <w:t>A HR kulcsfunkciókban érvényesülő gyakorlatok</w:t>
      </w:r>
    </w:p>
    <w:p w14:paraId="0000001D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E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CRANET-képviselők által fejlesztett és a felmérésben alkalmazott egységes kérdőív további részei a válaszadó szervezeteknél követett gyakorlatot és politikát alapvetően a HR kulcsfunkciói szerinti kérdéscsoportok alapján vizsgálja. A legújabb nemzetközi jelentés ezek alapján hét HR területet jellemez. Ezek közül válogatva itt a személyzetbiztosítás, a személyzetfejlesztés, a pénzügyi ösztönzés, valamint a kollektív érdekegyeztetés és szakszervezetek szerepének változásait és aktuális jellemzőt vázoljuk – a megragadható világszintű, valamint regionális hasonlóságokra és eltérésekre rámutatva. </w:t>
      </w:r>
    </w:p>
    <w:p w14:paraId="0000001F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20" w14:textId="77777777" w:rsidR="00BE6C37" w:rsidRPr="001527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</w:t>
      </w:r>
      <w:r w:rsidRPr="00152793">
        <w:rPr>
          <w:b/>
          <w:color w:val="000000"/>
          <w:sz w:val="24"/>
          <w:szCs w:val="24"/>
        </w:rPr>
        <w:t xml:space="preserve"> </w:t>
      </w:r>
      <w:r w:rsidRPr="00152793">
        <w:rPr>
          <w:color w:val="000000"/>
          <w:sz w:val="24"/>
          <w:szCs w:val="24"/>
        </w:rPr>
        <w:t>felmérés</w:t>
      </w:r>
      <w:r w:rsidRPr="00152793">
        <w:rPr>
          <w:b/>
          <w:color w:val="000000"/>
          <w:sz w:val="24"/>
          <w:szCs w:val="24"/>
        </w:rPr>
        <w:t xml:space="preserve"> a személyzetbiztosítás</w:t>
      </w:r>
      <w:r w:rsidRPr="00152793">
        <w:rPr>
          <w:color w:val="000000"/>
          <w:sz w:val="24"/>
          <w:szCs w:val="24"/>
        </w:rPr>
        <w:t xml:space="preserve"> során alkalmazott módszereket két munkatársi csoport (a vezetők és szakalkalmazottak, valamint az irodai és fizikai dolgozók) tagjainak toborzási és kiválasztási gyakorlatát külön-külön vizsgálja. </w:t>
      </w:r>
    </w:p>
    <w:p w14:paraId="00000021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</w:t>
      </w:r>
      <w:r w:rsidRPr="00152793">
        <w:rPr>
          <w:b/>
          <w:color w:val="000000"/>
          <w:sz w:val="24"/>
          <w:szCs w:val="24"/>
        </w:rPr>
        <w:t xml:space="preserve">toborzási </w:t>
      </w:r>
      <w:r w:rsidRPr="00152793">
        <w:rPr>
          <w:color w:val="000000"/>
          <w:sz w:val="24"/>
          <w:szCs w:val="24"/>
        </w:rPr>
        <w:t xml:space="preserve">fázisáról a felmérés alapján megállapítható, hogy </w:t>
      </w:r>
      <w:r w:rsidRPr="00152793">
        <w:rPr>
          <w:i/>
          <w:color w:val="000000"/>
          <w:sz w:val="24"/>
          <w:szCs w:val="24"/>
        </w:rPr>
        <w:t>a vezetői és a (szak)alkalmazotti pozíciók esetében</w:t>
      </w:r>
      <w:r w:rsidRPr="00152793">
        <w:rPr>
          <w:color w:val="000000"/>
          <w:sz w:val="24"/>
          <w:szCs w:val="24"/>
        </w:rPr>
        <w:t xml:space="preserve"> a világon legszéleskörűbben (a válaszadók 78%-ánál) alkalmazott megoldás a belső toborzási forrás használata. Az ezt alkalmazók aránya minden vizsgált régióban 70% fölötti, ám legmagasabb Észak-Amerika (91%) és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régió (81%) országaiban. Világszerte a válaszadó szervezetek több mint fele (56%) vesz igényben e körben toborzó cégeket, fejvadászokat. </w:t>
      </w:r>
      <w:r w:rsidRPr="00152793">
        <w:rPr>
          <w:i/>
          <w:color w:val="000000"/>
          <w:sz w:val="24"/>
          <w:szCs w:val="24"/>
        </w:rPr>
        <w:t>Az irodai és/vagy fizikai alkalmazottak</w:t>
      </w:r>
      <w:r w:rsidRPr="00152793">
        <w:rPr>
          <w:color w:val="000000"/>
          <w:sz w:val="24"/>
          <w:szCs w:val="24"/>
        </w:rPr>
        <w:t xml:space="preserve"> toborzására használt három leggyakoribb módszer globálisan a belső forrásra támaszkodás, az élőszóra és a társas médiára építő megoldások. </w:t>
      </w:r>
    </w:p>
    <w:p w14:paraId="00000022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Globálisan a </w:t>
      </w:r>
      <w:r w:rsidRPr="00152793">
        <w:rPr>
          <w:i/>
          <w:color w:val="000000"/>
          <w:sz w:val="24"/>
          <w:szCs w:val="24"/>
        </w:rPr>
        <w:t>vezetők és szakalkalmazottak</w:t>
      </w:r>
      <w:r w:rsidRPr="00152793">
        <w:rPr>
          <w:color w:val="000000"/>
          <w:sz w:val="24"/>
          <w:szCs w:val="24"/>
        </w:rPr>
        <w:t xml:space="preserve"> </w:t>
      </w:r>
      <w:r w:rsidRPr="00152793">
        <w:rPr>
          <w:b/>
          <w:color w:val="000000"/>
          <w:sz w:val="24"/>
          <w:szCs w:val="24"/>
        </w:rPr>
        <w:t>kiválasztásának</w:t>
      </w:r>
      <w:r w:rsidRPr="00152793">
        <w:rPr>
          <w:color w:val="000000"/>
          <w:sz w:val="24"/>
          <w:szCs w:val="24"/>
        </w:rPr>
        <w:t xml:space="preserve"> legtöbb válaszadó által használt módszere (a páros, illetve a bizottság előtti/ panel) az interjú, valamint a referenciák begyűjtése. Míg a páros interjú Latin-Amerika, a panel interjú Észak-Amerika országaiban, a referenciákra támaszkodás pedig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régió országaiban a legnépszerűbb. A vezetői és szakalkalmazotti pozíciókra történő kiválasztási folyamatban az EU-15,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és a Latin-Amerikai régió országaiban a módszerek széles körét alkalmazzák - akár egyidejűleg -, míg az EU-13 régió Észak-Amerika és az Ázsia-Pacific régió országaiban ezek jóval szűkebb körének használata alapján hozzák meg a kiválasztási döntéseket. </w:t>
      </w:r>
    </w:p>
    <w:p w14:paraId="00000023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személyzetbiztosítási munka során a válaszadók egy része bizonyos </w:t>
      </w:r>
      <w:r w:rsidRPr="00152793">
        <w:rPr>
          <w:i/>
          <w:color w:val="000000"/>
          <w:sz w:val="24"/>
          <w:szCs w:val="24"/>
        </w:rPr>
        <w:t>speciális helyzetű munkavállalói körben sajátos programokat</w:t>
      </w:r>
      <w:r w:rsidRPr="00152793">
        <w:rPr>
          <w:color w:val="000000"/>
          <w:sz w:val="24"/>
          <w:szCs w:val="24"/>
        </w:rPr>
        <w:t xml:space="preserve"> alkalmaz. A globális mintában csakúgy, mint minden régióban a válaszadó szervezetek által ilyen speciális figyelemben részesülő leendő munkavállalók legmagasabb arányban a nők. Azonban míg a globális mintában ez a cégek 35%-át jelenti, átlag alatti válaszadói arányok csupán két európai régióban (EU-15, 30% és EU-13, 22%) találhatók. A bevándorlók és menekültek toborzására speciális programokat a teljes válaszadói körnek csupán 17%-a alkalmaz. Ettől magasabb arányokat jeleznek Észak-Amerika (29%), az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 (28%) és az EU-15 (18%) régiók országai, miközben a legalacsonyabb arányszám (7%) az EU-13-ban található. Észak- és Latin-Amerikában a szervezetek több mint fele valósít meg speciális programot az etnikai kisebbségek és az LMBTQ közösség tagjainak toborzás-kiválasztása során. A magyarországi vizsgált szervezetek jellemzően a fiatalabb, a </w:t>
      </w:r>
      <w:r w:rsidRPr="00152793">
        <w:rPr>
          <w:color w:val="000000"/>
          <w:sz w:val="24"/>
          <w:szCs w:val="24"/>
        </w:rPr>
        <w:lastRenderedPageBreak/>
        <w:t xml:space="preserve">megváltozott munkaképességű- és a női munkavállalókra fókuszálnak, amikor a speciális helyzetű munkavállalóknak szóló akcióprogramokat szervezik. </w:t>
      </w:r>
    </w:p>
    <w:p w14:paraId="00000024" w14:textId="77777777" w:rsidR="00BE6C37" w:rsidRPr="001527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</w:t>
      </w:r>
      <w:r w:rsidRPr="00152793">
        <w:rPr>
          <w:b/>
          <w:color w:val="000000"/>
          <w:sz w:val="24"/>
          <w:szCs w:val="24"/>
        </w:rPr>
        <w:t xml:space="preserve"> személyzetfejlesztés</w:t>
      </w:r>
      <w:r w:rsidRPr="00152793">
        <w:rPr>
          <w:color w:val="000000"/>
          <w:sz w:val="24"/>
          <w:szCs w:val="24"/>
        </w:rPr>
        <w:t xml:space="preserve"> az egyik legfontosabb HR funkcióként elismert terület, hiszen a szervezetek versenyképességét és teljesítményét megerősítő potenciálja széleskörűen elfogadott (Garavan et al., 2021), miközben a világban bekövetkezett változások (COVID-19 világjárvány és a munkavégzésre és az egészségre kifejtett hatásai) miatt további erősödése volt feltételezhető. Az empirikus felmérésen alapuló jelentésben szereplő, e témakörhöz kapcsolódó megállapítások e várakozásokat globális szinten vizsgálódva sokrétűen visszaigazolják, hiszen: </w:t>
      </w:r>
    </w:p>
    <w:p w14:paraId="00000025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 válaszadók több, mint fele rendelkezik képzés-fejlesztési stratégiával;</w:t>
      </w:r>
    </w:p>
    <w:p w14:paraId="00000026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 w:rsidRPr="00152793">
        <w:rPr>
          <w:color w:val="000000"/>
          <w:sz w:val="24"/>
          <w:szCs w:val="24"/>
        </w:rPr>
        <w:t>a képzési politika döntései az érintettek – közvetlen vezetők és a HR-részleg szakemberei – jól kiegyensúlyozott együttműködése révén születnek;</w:t>
      </w:r>
    </w:p>
    <w:p w14:paraId="00000027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 szervezetek mintegy 2/3-a veszi igénybe külső tréning cég szolgáltatásait, miközben csupán 5%-uk szervezi ki teljesen a képzés-fejlesztési tevékenységeket;</w:t>
      </w:r>
    </w:p>
    <w:p w14:paraId="00000028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 képzési költségek éves bérköltségen belüli aránya világszinten meredek emelkedést mutat, hisz 2021-22-re a 2014-15-ös felmérésben talált 4%-ról átlagosan 9%-ra nőtt. Az átlagok azonban országonként igen eltérő értékeket fednek, hiszen például Chile, Nepál és Szerbia válaszadóinál átlagosan 3% alatti, míg Japán, Németország és az Egyesült Királyság szervezeteinél 15% feletti a képzési költséghányad. A magyarországi válaszadók több mint a felénél 4-5% vagy ennél magasabb az éves képzési ráfordítási arány;</w:t>
      </w:r>
    </w:p>
    <w:p w14:paraId="00000029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általánosságban elmondható, hogy a legtöbb országban átlagosan több képzési napot tartanak vezetőknek/szakembereknek (12 nap/év) mint az irodai/fizikai dolgozóknak (11 nap/év). Ez a mutató szintén a képzési gyakorlat erősödését igazolja, hiszen a 2014-15-ös felmérés globális eredményei még csak 8, illetve 7 nap/év voltak. Magyarországi válaszadó szervezeteknél az évente formális képzésen töltött napok száma a vezetők és a szellemi (szak-)alkalmazottaknál a 7,2, az irodai/adminisztratív és/vagy fizikai dolgozók esetében 6,0 nap/év.  </w:t>
      </w:r>
    </w:p>
    <w:p w14:paraId="0000002A" w14:textId="77777777" w:rsidR="00BE6C37" w:rsidRPr="001527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A</w:t>
      </w:r>
      <w:r w:rsidRPr="00152793">
        <w:rPr>
          <w:b/>
          <w:color w:val="000000"/>
          <w:sz w:val="24"/>
          <w:szCs w:val="24"/>
        </w:rPr>
        <w:t xml:space="preserve"> pénzügyi ösztönzés </w:t>
      </w:r>
      <w:r w:rsidRPr="00152793">
        <w:rPr>
          <w:color w:val="000000"/>
          <w:sz w:val="24"/>
          <w:szCs w:val="24"/>
        </w:rPr>
        <w:t>szempontjai és megoldásai</w:t>
      </w:r>
      <w:r w:rsidRPr="00152793">
        <w:rPr>
          <w:b/>
          <w:color w:val="000000"/>
          <w:sz w:val="24"/>
          <w:szCs w:val="24"/>
        </w:rPr>
        <w:t xml:space="preserve"> </w:t>
      </w:r>
      <w:r w:rsidRPr="00152793">
        <w:rPr>
          <w:color w:val="000000"/>
          <w:sz w:val="24"/>
          <w:szCs w:val="24"/>
        </w:rPr>
        <w:t>a szervezetek HR-stratégiájának kritikus fontossággal bíró, örökzöld elemei.</w:t>
      </w:r>
      <w:r w:rsidRPr="00152793">
        <w:rPr>
          <w:b/>
          <w:color w:val="000000"/>
          <w:sz w:val="24"/>
          <w:szCs w:val="24"/>
        </w:rPr>
        <w:t xml:space="preserve"> </w:t>
      </w:r>
      <w:r w:rsidRPr="00152793">
        <w:rPr>
          <w:color w:val="000000"/>
          <w:sz w:val="24"/>
          <w:szCs w:val="24"/>
        </w:rPr>
        <w:t xml:space="preserve">A témakörhöz kapcsolódóan a felmérés csupán három elem kapcsán vizsgálja a szervezeti gyakorlatot. Ezek az alapbér meghatározást befolyásoló döntések helye és az ebben szerepet játszó kollektív alku jellemző szintje, a pénzbeli ösztönzésre használt megoldások alkalmazott formái, valamint a pénzügyi participáció által érintett munkatársak köre. Az eredmények </w:t>
      </w:r>
      <w:r w:rsidRPr="00152793">
        <w:rPr>
          <w:color w:val="000000"/>
          <w:sz w:val="24"/>
          <w:szCs w:val="24"/>
        </w:rPr>
        <w:lastRenderedPageBreak/>
        <w:t xml:space="preserve">alapján elsőként az érdemel kiemelést, hogy e témakörben azonosíthatók az egyes országok közötti - az intézményi és kulturális tényezők erőteljes hatását jelző - legjelentősebb különbségek. </w:t>
      </w:r>
    </w:p>
    <w:p w14:paraId="0000002B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Ezek szerint a </w:t>
      </w:r>
      <w:r w:rsidRPr="00152793">
        <w:rPr>
          <w:i/>
          <w:color w:val="000000"/>
          <w:sz w:val="24"/>
          <w:szCs w:val="24"/>
        </w:rPr>
        <w:t>kollektív alkuval</w:t>
      </w:r>
      <w:r w:rsidRPr="00152793">
        <w:rPr>
          <w:color w:val="000000"/>
          <w:sz w:val="24"/>
          <w:szCs w:val="24"/>
        </w:rPr>
        <w:t xml:space="preserve"> kapcsolatban általánosságban megállapítható, hogy az országos és vagy ágazati szintű alku bérmeghatározásban betöltött szerepe elsősorban a kontinentális Európa országaiban (EU-15 és E</w:t>
      </w:r>
      <w:r w:rsidRPr="00152793">
        <w:rPr>
          <w:sz w:val="24"/>
          <w:szCs w:val="24"/>
        </w:rPr>
        <w:t>mo</w:t>
      </w:r>
      <w:r w:rsidRPr="00152793">
        <w:rPr>
          <w:color w:val="000000"/>
          <w:sz w:val="24"/>
          <w:szCs w:val="24"/>
        </w:rPr>
        <w:t xml:space="preserve">) meghatározó jelentőségű. Ezzel szemben az EU-13 régió volt szocialista országaiban az átalakulás után a vállalat, vagy telephely szintű béralku vált normává. </w:t>
      </w:r>
    </w:p>
    <w:p w14:paraId="0000002C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</w:t>
      </w:r>
      <w:r w:rsidRPr="00152793">
        <w:rPr>
          <w:i/>
          <w:color w:val="000000"/>
          <w:sz w:val="24"/>
          <w:szCs w:val="24"/>
        </w:rPr>
        <w:t>pénzügyi teljesítményösztönzés</w:t>
      </w:r>
      <w:r w:rsidRPr="00152793">
        <w:rPr>
          <w:color w:val="000000"/>
          <w:sz w:val="24"/>
          <w:szCs w:val="24"/>
        </w:rPr>
        <w:t xml:space="preserve"> különböző típusainak (egyéni teljesítményarányos bér, az egyéni, a team/részleg vagy szervezeti célokhoz/teljesítményhez kötött jutalom/prémium) alkalmazási gyakorlatát vizsgálva megállapítható, hogy míg a megelőző CRANET-felmérésben az EU-13 régió – melynek hazánk is tagja – válaszadói a teljesítményarányos bérezés, ösztönzés alkalmazási gyakoriságát illetően megelőzték az Észak-Amerika országait, addig e felmérés eredményei szerint a legmagasabb népszerűségi arány immáron Latin-Amerika bizonyos országai (Chile, Mexikó) és az </w:t>
      </w:r>
      <w:r w:rsidRPr="00152793">
        <w:rPr>
          <w:sz w:val="24"/>
          <w:szCs w:val="24"/>
        </w:rPr>
        <w:t>é</w:t>
      </w:r>
      <w:r w:rsidRPr="00152793">
        <w:rPr>
          <w:color w:val="000000"/>
          <w:sz w:val="24"/>
          <w:szCs w:val="24"/>
        </w:rPr>
        <w:t>szak-</w:t>
      </w:r>
      <w:r w:rsidRPr="00152793">
        <w:rPr>
          <w:sz w:val="24"/>
          <w:szCs w:val="24"/>
        </w:rPr>
        <w:t>a</w:t>
      </w:r>
      <w:r w:rsidRPr="00152793">
        <w:rPr>
          <w:color w:val="000000"/>
          <w:sz w:val="24"/>
          <w:szCs w:val="24"/>
        </w:rPr>
        <w:t>merikai régió országainak irányába helyeződik át, illetve vissza.</w:t>
      </w:r>
    </w:p>
    <w:p w14:paraId="0000002D" w14:textId="77777777" w:rsidR="00BE6C37" w:rsidRPr="0015279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 xml:space="preserve">A felmérés tapasztalatai – a hazai eredményeket is beleértve – tovább erősítik azt a véleményt, miszerint a sokféle bérezési megoldás eredményes alkalmazása munkatársi kategóriák (vezető, szakalkalmazott, adminisztratív, és vagy fizikai dolgozó) szerint is differenciált. Kifejezetten így van ez a pénzügyi participációt (nyereségrészesedési és részvényopciós) kínáló megoldások esetén, hiszen ezeket az versenyszektor cégeinek egy részében és főként a csúcsvezetők körében alkalmazzák. </w:t>
      </w:r>
    </w:p>
    <w:p w14:paraId="0000002E" w14:textId="77777777" w:rsidR="00BE6C37" w:rsidRPr="001527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 w:rsidRPr="00152793">
        <w:rPr>
          <w:color w:val="000000"/>
          <w:sz w:val="24"/>
          <w:szCs w:val="24"/>
        </w:rPr>
        <w:t>A</w:t>
      </w:r>
      <w:r w:rsidRPr="00152793">
        <w:rPr>
          <w:b/>
          <w:color w:val="000000"/>
          <w:sz w:val="24"/>
          <w:szCs w:val="24"/>
        </w:rPr>
        <w:t xml:space="preserve"> kollektív érdekegyeztetés alkalmazása és a szakszervezetek súlya, szerepe </w:t>
      </w:r>
      <w:r w:rsidRPr="00152793">
        <w:rPr>
          <w:color w:val="000000"/>
          <w:sz w:val="24"/>
          <w:szCs w:val="24"/>
        </w:rPr>
        <w:t xml:space="preserve">a </w:t>
      </w:r>
      <w:r w:rsidRPr="00152793">
        <w:rPr>
          <w:color w:val="444444"/>
          <w:sz w:val="24"/>
          <w:szCs w:val="24"/>
        </w:rPr>
        <w:t>2015. évi CRANET</w:t>
      </w:r>
      <w:r w:rsidRPr="00152793">
        <w:rPr>
          <w:color w:val="000000"/>
          <w:sz w:val="24"/>
          <w:szCs w:val="24"/>
        </w:rPr>
        <w:t xml:space="preserve"> felmérésben azonosított viszonylag alacsony szinthez képest világszinten tovább csökken, hiszen a szakszervezeti tagok nélkül működő válaszadó szervezetek aránya a 2015-ös 24,5%-ról 2021-re 27,2%-ra nőtt. A regionális különbségekre fókuszálva megállapítható, hogy továbbra is jellemző, hogy a szakszervezeti tagok aránya az EU-15 országaiban a legmagasabb, míg az EU-13 országok – beleértv</w:t>
      </w:r>
      <w:r w:rsidRPr="00152793">
        <w:rPr>
          <w:sz w:val="24"/>
          <w:szCs w:val="24"/>
        </w:rPr>
        <w:t>e</w:t>
      </w:r>
      <w:r w:rsidRPr="00152793">
        <w:rPr>
          <w:color w:val="000000"/>
          <w:sz w:val="24"/>
          <w:szCs w:val="24"/>
        </w:rPr>
        <w:t xml:space="preserve"> hazánkat is - azok közé tartoznak, amelyekben a legkevésbé valószínű, hogy a válaszadók szakszervezeti tagokat foglalkoztatnak. Az egyes országok igen eltérő gyakorlatát vizsgálva megállapítható, hogy a szakszervezetek szervezettségi szintje három északi országban (Izlandon, Svédországban és Dániában) valamint Japánban a </w:t>
      </w:r>
      <w:r w:rsidRPr="00152793">
        <w:rPr>
          <w:color w:val="000000"/>
          <w:sz w:val="24"/>
          <w:szCs w:val="24"/>
        </w:rPr>
        <w:lastRenderedPageBreak/>
        <w:t>legmagasabb. A CRANET tagországok közül az Egyesült Államok és Törökország azok, ahol a szakszervezeti tagok nélkül működő szervezetek aránya a legmagasabb (70%). A magyarországi felmérésben résztvevő szervezetek mintegy kétharmadánál egyáltalán nem működik szakszervezet.</w:t>
      </w:r>
    </w:p>
    <w:p w14:paraId="0000002F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30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color w:val="000000"/>
          <w:sz w:val="24"/>
          <w:szCs w:val="24"/>
        </w:rPr>
        <w:t>Összegzésként megállapítható, hogy a leutóbbi CRANET-felmérés eredményeire építő nemzetközi jelentés alapján válogatott jellemzők meglehetősen átfogó áttekintést nyújtanak az emberierőforrás-menedzsment legújabb nemzetközi és regionális sajátosságairól. Habár a CRANET a világ egyre több országának kutatóit nyeri meg a hálózat munkájának és adatállományának gazdagítása érdekében, a jelenlegi résztvevőkre építő HR „világkép” még csupán a valódi állapotok töredékét képes bemutatni. Mégis a</w:t>
      </w:r>
      <w:r w:rsidRPr="00152793">
        <w:rPr>
          <w:sz w:val="24"/>
          <w:szCs w:val="24"/>
        </w:rPr>
        <w:t>zt lehet mondani, hogy nincs a CRANET-nél komplexebb nemzetközi összehasonlító elemzés a HR vonatkozásában, így az eredmények mindenképpen jó közelítéssel reprezentálják a valós tendenciákat, trendeket.</w:t>
      </w:r>
      <w:r w:rsidRPr="00152793">
        <w:rPr>
          <w:color w:val="000000"/>
          <w:sz w:val="24"/>
          <w:szCs w:val="24"/>
        </w:rPr>
        <w:t xml:space="preserve"> </w:t>
      </w:r>
    </w:p>
    <w:p w14:paraId="00000031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32" w14:textId="77777777" w:rsidR="00BE6C37" w:rsidRPr="0015279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52793">
        <w:rPr>
          <w:b/>
          <w:color w:val="000000"/>
          <w:sz w:val="24"/>
          <w:szCs w:val="24"/>
        </w:rPr>
        <w:t>Források:</w:t>
      </w:r>
    </w:p>
    <w:p w14:paraId="00000033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34" w14:textId="77777777" w:rsidR="00BE6C37" w:rsidRPr="0015279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52793">
        <w:rPr>
          <w:color w:val="000000"/>
          <w:sz w:val="22"/>
          <w:szCs w:val="22"/>
        </w:rPr>
        <w:t xml:space="preserve">Balogh G., Jarjabka Á., Karoliny M-né., Poór J., Szabó K. &amp; Galambosné Tiszberger M. (Szerk.) (2022). </w:t>
      </w:r>
      <w:r w:rsidRPr="00152793">
        <w:rPr>
          <w:i/>
          <w:color w:val="000000"/>
          <w:sz w:val="22"/>
          <w:szCs w:val="22"/>
        </w:rPr>
        <w:t>Az emberierőforrás-menedzsment gyakorlata – Magyarország 2021</w:t>
      </w:r>
      <w:r w:rsidRPr="00152793">
        <w:rPr>
          <w:color w:val="000000"/>
          <w:sz w:val="22"/>
          <w:szCs w:val="22"/>
        </w:rPr>
        <w:t>. Gödöllő: Pécsi Tudományegyetem</w:t>
      </w:r>
    </w:p>
    <w:p w14:paraId="00000035" w14:textId="77777777" w:rsidR="00BE6C37" w:rsidRPr="0015279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52793">
        <w:rPr>
          <w:color w:val="000000"/>
          <w:sz w:val="22"/>
          <w:szCs w:val="22"/>
        </w:rPr>
        <w:t xml:space="preserve">Balogh G., Karoliny M-né. (Szerk) (2023). </w:t>
      </w:r>
      <w:r w:rsidRPr="00152793">
        <w:rPr>
          <w:i/>
          <w:color w:val="000000"/>
          <w:sz w:val="22"/>
          <w:szCs w:val="22"/>
        </w:rPr>
        <w:t>Az emberi erőforrások menedzselése.</w:t>
      </w:r>
      <w:r w:rsidRPr="00152793">
        <w:rPr>
          <w:color w:val="000000"/>
          <w:sz w:val="22"/>
          <w:szCs w:val="22"/>
        </w:rPr>
        <w:t xml:space="preserve"> Koncepciók, technikák nemzetközi kitekintésben. Akadémiai Kiadó Budapest. p. 399.</w:t>
      </w:r>
    </w:p>
    <w:p w14:paraId="00000036" w14:textId="77777777" w:rsidR="00BE6C37" w:rsidRPr="0015279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52793">
        <w:rPr>
          <w:color w:val="000000"/>
          <w:sz w:val="22"/>
          <w:szCs w:val="22"/>
          <w:highlight w:val="white"/>
        </w:rPr>
        <w:t xml:space="preserve">Cranet (2023). </w:t>
      </w:r>
      <w:r w:rsidRPr="00152793">
        <w:rPr>
          <w:i/>
          <w:color w:val="000000"/>
          <w:sz w:val="22"/>
          <w:szCs w:val="22"/>
          <w:highlight w:val="white"/>
        </w:rPr>
        <w:t>Research Network, Cranet Executive Report on International Human Resource Management: Summary and Analysis of 2021-2022 Survey Data (November 29, 2023)</w:t>
      </w:r>
      <w:r w:rsidRPr="00152793">
        <w:rPr>
          <w:color w:val="000000"/>
          <w:sz w:val="22"/>
          <w:szCs w:val="22"/>
          <w:highlight w:val="white"/>
        </w:rPr>
        <w:t>. CRANET, Research Network, Cranet Executive Report on International Human Resource Management: Summary and Analysis of 2021-2022 Survey Data (November 29, 2023).  </w:t>
      </w:r>
      <w:r w:rsidRPr="00152793">
        <w:rPr>
          <w:color w:val="000000"/>
          <w:sz w:val="22"/>
          <w:szCs w:val="22"/>
        </w:rPr>
        <w:t xml:space="preserve"> Available at SSRN: </w:t>
      </w:r>
      <w:hyperlink r:id="rId10">
        <w:r w:rsidRPr="00152793">
          <w:rPr>
            <w:color w:val="0000FF"/>
            <w:sz w:val="22"/>
            <w:szCs w:val="22"/>
            <w:u w:val="single"/>
          </w:rPr>
          <w:t>https://ssrn.com/abstract=4647015</w:t>
        </w:r>
      </w:hyperlink>
    </w:p>
    <w:p w14:paraId="00000037" w14:textId="77777777" w:rsidR="00BE6C37" w:rsidRPr="0015279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52793">
        <w:rPr>
          <w:color w:val="000000"/>
          <w:sz w:val="22"/>
          <w:szCs w:val="22"/>
        </w:rPr>
        <w:t xml:space="preserve">Garavan, T.N., McCarthy, A., Lai, Y., Clarke, N., Carbery, R., Gubbins, C., Sheehan, M., Saunders, M.N.K. (2021). Putting the system back into training and firm performance research: A review and research agenda. Human Resource Management Journal, 31(4), 870-903. </w:t>
      </w:r>
      <w:hyperlink r:id="rId11">
        <w:r w:rsidRPr="00152793">
          <w:rPr>
            <w:color w:val="0000FF"/>
            <w:sz w:val="22"/>
            <w:szCs w:val="22"/>
            <w:u w:val="single"/>
          </w:rPr>
          <w:t>https://doi.org/10.1111/1748-8583.12337</w:t>
        </w:r>
      </w:hyperlink>
    </w:p>
    <w:p w14:paraId="00000038" w14:textId="77777777" w:rsidR="00BE6C37" w:rsidRPr="0015279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52793">
        <w:rPr>
          <w:color w:val="000000"/>
          <w:sz w:val="22"/>
          <w:szCs w:val="22"/>
        </w:rPr>
        <w:t xml:space="preserve">Lazarova, M., Morley, M. &amp; Tyson, S. (2008). International comparative studies in HRM and performance – the Cranet data; Introduction. </w:t>
      </w:r>
      <w:r w:rsidRPr="00152793">
        <w:rPr>
          <w:i/>
          <w:color w:val="000000"/>
          <w:sz w:val="22"/>
          <w:szCs w:val="22"/>
        </w:rPr>
        <w:t>International Journal of Human Resource Management</w:t>
      </w:r>
      <w:r w:rsidRPr="00152793">
        <w:rPr>
          <w:color w:val="000000"/>
          <w:sz w:val="22"/>
          <w:szCs w:val="22"/>
        </w:rPr>
        <w:t>, 19(11), 995–2003.</w:t>
      </w:r>
    </w:p>
    <w:p w14:paraId="00000039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color w:val="000000"/>
          <w:sz w:val="22"/>
          <w:szCs w:val="22"/>
        </w:rPr>
      </w:pPr>
    </w:p>
    <w:p w14:paraId="0000003A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3B" w14:textId="77777777" w:rsidR="00BE6C37" w:rsidRPr="00152793" w:rsidRDefault="00BE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444444"/>
          <w:sz w:val="24"/>
          <w:szCs w:val="24"/>
        </w:rPr>
      </w:pPr>
    </w:p>
    <w:sectPr w:rsidR="00BE6C37" w:rsidRPr="00152793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331C" w14:textId="77777777" w:rsidR="00FD1E0C" w:rsidRDefault="00FD1E0C">
      <w:r>
        <w:separator/>
      </w:r>
    </w:p>
  </w:endnote>
  <w:endnote w:type="continuationSeparator" w:id="0">
    <w:p w14:paraId="6C47E8DC" w14:textId="77777777" w:rsidR="00FD1E0C" w:rsidRDefault="00F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BE6C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41" w14:textId="77777777" w:rsidR="00BE6C37" w:rsidRDefault="00BE6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2BB0240A" w:rsidR="00BE6C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1166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F" w14:textId="77777777" w:rsidR="00BE6C37" w:rsidRDefault="00BE6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AEC0" w14:textId="77777777" w:rsidR="00FD1E0C" w:rsidRDefault="00FD1E0C">
      <w:r>
        <w:separator/>
      </w:r>
    </w:p>
  </w:footnote>
  <w:footnote w:type="continuationSeparator" w:id="0">
    <w:p w14:paraId="52693407" w14:textId="77777777" w:rsidR="00FD1E0C" w:rsidRDefault="00FD1E0C">
      <w:r>
        <w:continuationSeparator/>
      </w:r>
    </w:p>
  </w:footnote>
  <w:footnote w:id="1">
    <w:p w14:paraId="0000003C" w14:textId="733902B5" w:rsidR="00BE6C37" w:rsidRPr="00682EB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82EBC">
        <w:rPr>
          <w:vertAlign w:val="superscript"/>
        </w:rPr>
        <w:footnoteRef/>
      </w:r>
      <w:r w:rsidRPr="00682EBC">
        <w:rPr>
          <w:color w:val="000000"/>
        </w:rPr>
        <w:t xml:space="preserve"> egyetemi tanár (Selye János Egyetem), professor emeritus (MATE)</w:t>
      </w:r>
      <w:r w:rsidR="00152793">
        <w:rPr>
          <w:color w:val="000000"/>
        </w:rPr>
        <w:t>, email elérhetőség: poorjf@t-online.hu</w:t>
      </w:r>
    </w:p>
  </w:footnote>
  <w:footnote w:id="2">
    <w:p w14:paraId="6580BF68" w14:textId="7D6927B2" w:rsidR="00682EBC" w:rsidRP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</w:t>
      </w:r>
      <w:r w:rsidRPr="00682EBC">
        <w:rPr>
          <w:color w:val="4D5156"/>
          <w:shd w:val="clear" w:color="auto" w:fill="FFFFFF"/>
        </w:rPr>
        <w:t xml:space="preserve"> egyetemi docens, intézetigazgat</w:t>
      </w:r>
      <w:r w:rsidRPr="00682EBC">
        <w:rPr>
          <w:color w:val="4D5156"/>
          <w:shd w:val="clear" w:color="auto" w:fill="FFFFFF"/>
        </w:rPr>
        <w:t>ó (PTE)</w:t>
      </w:r>
    </w:p>
  </w:footnote>
  <w:footnote w:id="3">
    <w:p w14:paraId="0D1001B2" w14:textId="0E73F4D5" w:rsidR="00682EBC" w:rsidRP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egyetemi docens, szakmai vezető (PTE)</w:t>
      </w:r>
    </w:p>
  </w:footnote>
  <w:footnote w:id="4">
    <w:p w14:paraId="7092ED98" w14:textId="1FDC7827" w:rsidR="00682EBC" w:rsidRP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egyetemi docens, </w:t>
      </w:r>
      <w:r w:rsidRPr="00682EBC">
        <w:rPr>
          <w:color w:val="4D5156"/>
          <w:shd w:val="clear" w:color="auto" w:fill="FFFFFF"/>
        </w:rPr>
        <w:t> Intézetigazgató-helyettes</w:t>
      </w:r>
      <w:r w:rsidRPr="00682EBC">
        <w:rPr>
          <w:color w:val="4D5156"/>
          <w:shd w:val="clear" w:color="auto" w:fill="FFFFFF"/>
        </w:rPr>
        <w:t xml:space="preserve"> (MATE)</w:t>
      </w:r>
      <w:r w:rsidRPr="00682EBC">
        <w:rPr>
          <w:color w:val="4D5156"/>
          <w:shd w:val="clear" w:color="auto" w:fill="FFFFFF"/>
        </w:rPr>
        <w:t> </w:t>
      </w:r>
    </w:p>
  </w:footnote>
  <w:footnote w:id="5">
    <w:p w14:paraId="029DC977" w14:textId="3E837196" w:rsidR="00682EBC" w:rsidRP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</w:t>
      </w:r>
      <w:r w:rsidRPr="00682EBC">
        <w:rPr>
          <w:color w:val="4D5156"/>
          <w:shd w:val="clear" w:color="auto" w:fill="FFFFFF"/>
        </w:rPr>
        <w:t>egyetemi docens, szakkollégium vezető</w:t>
      </w:r>
      <w:r w:rsidRPr="00682EBC">
        <w:rPr>
          <w:color w:val="4D5156"/>
          <w:shd w:val="clear" w:color="auto" w:fill="FFFFFF"/>
        </w:rPr>
        <w:t xml:space="preserve"> (MATE)</w:t>
      </w:r>
    </w:p>
  </w:footnote>
  <w:footnote w:id="6">
    <w:p w14:paraId="5C38E0E0" w14:textId="6AE632AC" w:rsidR="00682EBC" w:rsidRP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</w:t>
      </w:r>
      <w:r w:rsidRPr="00682EBC">
        <w:rPr>
          <w:color w:val="000000"/>
        </w:rPr>
        <w:t>egyetemi docens (SZE és MATE)</w:t>
      </w:r>
    </w:p>
  </w:footnote>
  <w:footnote w:id="7">
    <w:p w14:paraId="466285D9" w14:textId="0A80DBBA" w:rsidR="00682EBC" w:rsidRDefault="00682EBC">
      <w:pPr>
        <w:pStyle w:val="Lbjegyzetszveg"/>
      </w:pPr>
      <w:r w:rsidRPr="00682EBC">
        <w:rPr>
          <w:rStyle w:val="Lbjegyzet-hivatkozs"/>
        </w:rPr>
        <w:footnoteRef/>
      </w:r>
      <w:r w:rsidRPr="00682EBC">
        <w:t xml:space="preserve"> egyetemi docens (PTE)</w:t>
      </w:r>
    </w:p>
  </w:footnote>
  <w:footnote w:id="8">
    <w:p w14:paraId="19C1384B" w14:textId="54B1F1D8" w:rsidR="00682EBC" w:rsidRDefault="00682EBC">
      <w:pPr>
        <w:pStyle w:val="Lbjegyzetszveg"/>
      </w:pPr>
      <w:r>
        <w:rPr>
          <w:rStyle w:val="Lbjegyzet-hivatkozs"/>
        </w:rPr>
        <w:footnoteRef/>
      </w:r>
      <w:r>
        <w:t xml:space="preserve"> egyetemi magántanár (PTE)</w:t>
      </w:r>
    </w:p>
  </w:footnote>
  <w:footnote w:id="9">
    <w:p w14:paraId="0000003D" w14:textId="77777777" w:rsidR="00BE6C3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HR létszám/100 fő alkalmazott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6F8A"/>
    <w:multiLevelType w:val="multilevel"/>
    <w:tmpl w:val="893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CC2FC0"/>
    <w:multiLevelType w:val="multilevel"/>
    <w:tmpl w:val="45BA3DE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E93594"/>
    <w:multiLevelType w:val="multilevel"/>
    <w:tmpl w:val="73B8CB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D4F4D26"/>
    <w:multiLevelType w:val="multilevel"/>
    <w:tmpl w:val="DE527EF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1EB19F2"/>
    <w:multiLevelType w:val="multilevel"/>
    <w:tmpl w:val="3D601E5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35346789">
    <w:abstractNumId w:val="0"/>
  </w:num>
  <w:num w:numId="2" w16cid:durableId="1149251177">
    <w:abstractNumId w:val="2"/>
  </w:num>
  <w:num w:numId="3" w16cid:durableId="120537737">
    <w:abstractNumId w:val="4"/>
  </w:num>
  <w:num w:numId="4" w16cid:durableId="278342284">
    <w:abstractNumId w:val="1"/>
  </w:num>
  <w:num w:numId="5" w16cid:durableId="84432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7"/>
    <w:rsid w:val="00152793"/>
    <w:rsid w:val="00211667"/>
    <w:rsid w:val="005708AF"/>
    <w:rsid w:val="00682EBC"/>
    <w:rsid w:val="00BE6C37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4382"/>
  <w15:docId w15:val="{4DF34593-DC4F-4B5A-A347-9D41072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EB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EBC"/>
  </w:style>
  <w:style w:type="character" w:styleId="Lbjegyzet-hivatkozs">
    <w:name w:val="footnote reference"/>
    <w:basedOn w:val="Bekezdsalapbettpusa"/>
    <w:uiPriority w:val="99"/>
    <w:semiHidden/>
    <w:unhideWhenUsed/>
    <w:rsid w:val="00682EBC"/>
    <w:rPr>
      <w:vertAlign w:val="superscript"/>
    </w:rPr>
  </w:style>
  <w:style w:type="character" w:styleId="Kiemels">
    <w:name w:val="Emphasis"/>
    <w:basedOn w:val="Bekezdsalapbettpusa"/>
    <w:uiPriority w:val="20"/>
    <w:qFormat/>
    <w:rsid w:val="00682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11/1748-8583.1233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srn.com/abstract=464701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OHUC69IfNxZZXtIFD4lSV19eg==">CgMxLjAyCGguZ2pkZ3hzMgloLjMwajB6bGwyCWguMWZvYjl0ZTIJaC4zem55c2g3OABqMQoUc3VnZ2VzdC55eWhnNGRuYms4cDkSGUfDoWJvciBTemFiw7MtU3plbnRncsOzdGlyITFuRXpTb01kQVAyejBnMGM0QXBiYkRXbnBDTkhvV252bw==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10B861-CA60-4CB1-BB73-C4F27B2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2427</Words>
  <Characters>16753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PoorJF</dc:creator>
  <cp:lastModifiedBy>József Poór</cp:lastModifiedBy>
  <cp:revision>2</cp:revision>
  <dcterms:created xsi:type="dcterms:W3CDTF">2024-01-09T10:25:00Z</dcterms:created>
  <dcterms:modified xsi:type="dcterms:W3CDTF">2024-01-09T10:25:00Z</dcterms:modified>
</cp:coreProperties>
</file>