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60"/>
      </w:pPr>
      <w:r>
        <w:rPr>
          <w:rFonts w:ascii="Arial" w:cs="Arial" w:eastAsia="Arial" w:hAnsi="Arial"/>
          <w:b/>
          <w:bCs/>
          <w:color w:val="B5894C"/>
          <w:sz w:val="17"/>
          <w:szCs w:val="17"/>
        </w:rPr>
        <w:t xml:space="preserve">VEZETŐI CHECKLIST</w:t>
      </w:r>
    </w:p>
    <w:p>
      <w:pPr>
        <w:spacing w:after="30"/>
      </w:pPr>
      <w:r>
        <w:rPr>
          <w:rFonts w:ascii="Arial" w:cs="Arial" w:eastAsia="Arial" w:hAnsi="Arial"/>
          <w:b/>
          <w:bCs/>
          <w:color w:val="1C2A4A"/>
          <w:sz w:val="34"/>
          <w:szCs w:val="34"/>
        </w:rPr>
        <w:t xml:space="preserve">Mesterséges intelligencia a cégében: 20 kérdés, amire egy vezetőnek tudnia kell a választ</w:t>
      </w:r>
    </w:p>
    <w:p>
      <w:pPr>
        <w:spacing w:after="120"/>
      </w:pPr>
      <w:r>
        <w:rPr>
          <w:rFonts w:ascii="Arial" w:cs="Arial" w:eastAsia="Arial" w:hAnsi="Arial"/>
          <w:color w:val="6B6F76"/>
          <w:sz w:val="21"/>
          <w:szCs w:val="21"/>
        </w:rPr>
        <w:t xml:space="preserve">Gyors önértékelés döntéshozóknak – mielőtt 2026 nyarán élesre fordulnak az új uniós MI-szabályok</w:t>
      </w:r>
    </w:p>
    <w:p>
      <w:pPr>
        <w:pBdr>
          <w:bottom w:val="single" w:color="B5894C" w:sz="12" w:space="1"/>
        </w:pBdr>
        <w:spacing w:after="160"/>
      </w:pPr>
      <w:r>
        <w:rPr>
          <w:sz w:val="2"/>
          <w:szCs w:val="2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color w:val="2B2B2B"/>
          <w:sz w:val="20"/>
          <w:szCs w:val="20"/>
        </w:rPr>
        <w:t xml:space="preserve">Pipálja ki azokat az állításokat, amelyekre </w:t>
      </w:r>
      <w:r>
        <w:rPr>
          <w:rFonts w:ascii="Arial" w:cs="Arial" w:eastAsia="Arial" w:hAnsi="Arial"/>
          <w:b/>
          <w:bCs/>
          <w:color w:val="2B2B2B"/>
          <w:sz w:val="20"/>
          <w:szCs w:val="20"/>
        </w:rPr>
        <w:t xml:space="preserve">egyértelmű igen</w:t>
      </w:r>
      <w:r>
        <w:rPr>
          <w:rFonts w:ascii="Arial" w:cs="Arial" w:eastAsia="Arial" w:hAnsi="Arial"/>
          <w:color w:val="2B2B2B"/>
          <w:sz w:val="20"/>
          <w:szCs w:val="20"/>
        </w:rPr>
        <w:t xml:space="preserve"> a válasz. Ahol bizonytalan, ott most még tervezetten, alacsony költséggel rendezhető a helyzet – egy incidens után már nem. A végén olvassa el, mit jelent az eredménye.</w:t>
      </w:r>
    </w:p>
    <w:p>
      <w:pPr>
        <w:pStyle w:val="Heading2"/>
      </w:pPr>
      <w:r>
        <w:t xml:space="preserve">A  ·  Áttekintés és felelősség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Készült-e naprakész leltár arról, hol használ a szervezet mesterséges intelligenciát döntéshozatalra vagy annak előkészítésére (HR, ügyfélkezelés, működés, beszerzés)?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2.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Van-e néven nevezhető, kijelölt felelőse a cégen belül az MI-rendszereknek?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3.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Tudja a vezetés, mely rendszerek érintenek közvetlenül embereket – munkavállalókat, jelölteket, ügyfeleket?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4.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Van-e jóváhagyási folyamat új MI-eszköz bevezetése előtt, vagy az osztályok önállóan, a vezetés tudta nélkül vezetnek be megoldásokat?</w:t>
      </w:r>
    </w:p>
    <w:p>
      <w:pPr>
        <w:pStyle w:val="Heading2"/>
      </w:pPr>
      <w:r>
        <w:t xml:space="preserve">B  ·  HR és emberekről szóló döntések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5.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Használ a cég MI-t önéletrajzok előszűrésére, jelöltek rangsorolására vagy interjúk értékelésére?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6.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Alkalmaz MI-t teljesítményértékelésnél, előléptetésnél, műszakbeosztásnál vagy elbocsátási döntések előkészítésénél?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7.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Ellenőrizték, hogy ezek a rendszerek nem zárnak-e ki rendszerszinten jelölteket nem, életkor, származás vagy más jellemző mentén?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8.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Tájékoztatják az érintetteket (jelölteket, munkavállalókat) arról, hogy a döntésnél MI is közreműködik?</w:t>
      </w:r>
    </w:p>
    <w:p>
      <w:pPr>
        <w:pStyle w:val="Heading2"/>
      </w:pPr>
      <w:r>
        <w:t xml:space="preserve">C  ·  Emberi felülvizsgálat és kontroll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9.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Van érdemi emberi felülvizsgálat a kritikus döntéseknél – nem csupán formális „rábólintás” egy gombnyomással?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10.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A felülvizsgálatot végző személynek van tényleges kompetenciája és jogköre felülírni a gép javaslatát?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11.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Dokumentálják, ki, mikor és milyen alapon hozta meg vagy hagyta jóvá az adott döntést?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12.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Van eljárás arra, ha egy érintett panaszt tesz vagy felülvizsgálatot kér egy MI által támogatott döntéssel kapcsolatban?</w:t>
      </w:r>
    </w:p>
    <w:p>
      <w:pPr>
        <w:pStyle w:val="Heading2"/>
      </w:pPr>
      <w:r>
        <w:t xml:space="preserve">D  ·  Adatok és átláthatóság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13.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Tudja a cég, milyen adatok alapján döntenek a rendszerei, és honnan származnak ezek az adatok?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14.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Megfelelő jogalap áll az adatok ilyen felhasználása mögött, összhangban az adatvédelmi elvárásokkal?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15.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Érthető a vezetés számára, hogyan jut egy-egy rendszer a következtetéseire, vagy „fekete dobozként” működik?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16.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Naplózzák és megőrzik a rendszer döntéseit, hogy azok utólag ellenőrizhetők legyenek?</w:t>
      </w:r>
    </w:p>
    <w:p>
      <w:pPr>
        <w:pStyle w:val="Heading2"/>
      </w:pPr>
      <w:r>
        <w:t xml:space="preserve">E  ·  Beszállítók és felkészültség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17.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Rendezik a beszállítói és szoftverszerződések a felelősséget, a garanciákat és a hibás működés következményeit?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18.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Vállalja a szállító az átláthatóságot, és átadja a rendszer ellenőrzéséhez szükséges dokumentációt?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19.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Kaptak képzést azok a munkatársak, akik nap mint nap MI-támogatott döntéseket hoznak?</w:t>
      </w:r>
    </w:p>
    <w:p>
      <w:pPr>
        <w:tabs>
          <w:tab w:val="left" w:pos="360"/>
          <w:tab w:val="left" w:pos="700"/>
        </w:tabs>
        <w:spacing w:after="80" w:line="264" w:lineRule="auto"/>
        <w:ind w:left="700" w:hanging="700"/>
      </w:pPr>
      <w:r>
        <w:rPr>
          <w:rFonts w:ascii="Arial" w:cs="Arial" w:eastAsia="Arial" w:hAnsi="Arial"/>
          <w:color w:val="1C2A4A"/>
          <w:sz w:val="26"/>
          <w:szCs w:val="26"/>
        </w:rPr>
        <w:t xml:space="preserve">□</w:t>
      </w:r>
      <w:r>
        <w:tab/>
      </w:r>
      <w:r>
        <w:rPr>
          <w:rFonts w:ascii="Arial" w:cs="Arial" w:eastAsia="Arial" w:hAnsi="Arial"/>
          <w:b/>
          <w:bCs/>
          <w:color w:val="B5894C"/>
          <w:sz w:val="20"/>
          <w:szCs w:val="20"/>
        </w:rPr>
        <w:t xml:space="preserve">20.</w:t>
      </w:r>
      <w:r>
        <w:tab/>
      </w:r>
      <w:r>
        <w:rPr>
          <w:rFonts w:ascii="Arial" w:cs="Arial" w:eastAsia="Arial" w:hAnsi="Arial"/>
          <w:color w:val="2B2B2B"/>
          <w:sz w:val="20"/>
          <w:szCs w:val="20"/>
        </w:rPr>
        <w:t xml:space="preserve">Tudja a szervezet, mit kell tennie a 2026 nyarától szigorodó uniós elvárásoknak való megfeleléshez?</w:t>
      </w:r>
    </w:p>
    <w:p>
      <w:pPr>
        <w:spacing w:before="80"/>
      </w:pPr>
    </w:p>
    <w:p>
      <w:pPr>
        <w:pBdr>
          <w:bottom w:val="single" w:color="B5894C" w:sz="12" w:space="1"/>
        </w:pBdr>
        <w:spacing w:after="120"/>
      </w:pPr>
      <w:r>
        <w:rPr>
          <w:sz w:val="2"/>
          <w:szCs w:val="2"/>
        </w:rPr>
        <w:t xml:space="preserve"/>
      </w:r>
    </w:p>
    <w:p>
      <w:pPr>
        <w:pStyle w:val="Heading2"/>
      </w:pPr>
      <w:r>
        <w:t xml:space="preserve">Mit jelent az eredménye?</w:t>
      </w:r>
    </w:p>
    <w:tbl>
      <w:tblPr>
        <w:tblW w:type="dxa" w:w="974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00"/>
        <w:gridCol w:w="6546"/>
      </w:tblGrid>
      <w:tr>
        <w:tc>
          <w:tcPr>
            <w:tcW w:type="dxa" w:w="3200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2A4A"/>
                <w:sz w:val="19"/>
                <w:szCs w:val="19"/>
              </w:rPr>
              <w:t xml:space="preserve">17–20 pipa · Stabil alapok</w:t>
            </w:r>
          </w:p>
        </w:tc>
        <w:tc>
          <w:tcPr>
            <w:tcW w:type="dxa" w:w="6546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color w:val="2B2B2B"/>
                <w:sz w:val="19"/>
                <w:szCs w:val="19"/>
              </w:rPr>
              <w:t xml:space="preserve">A szervezet kézben tartja az MI-használatát. A feladat a finomhangolás és a folyamatos dokumentálás.</w:t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2A4A"/>
                <w:sz w:val="19"/>
                <w:szCs w:val="19"/>
              </w:rPr>
              <w:t xml:space="preserve">11–16 pipa · Részben felkészült</w:t>
            </w:r>
          </w:p>
        </w:tc>
        <w:tc>
          <w:tcPr>
            <w:tcW w:type="dxa" w:w="6546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color w:val="2B2B2B"/>
                <w:sz w:val="19"/>
                <w:szCs w:val="19"/>
              </w:rPr>
              <w:t xml:space="preserve">Jó irányba halad, de vannak vakfoltok. Érdemes rendszerezni a folyamatokat, mielőtt nőne a kitettség.</w:t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2A4A"/>
                <w:sz w:val="19"/>
                <w:szCs w:val="19"/>
              </w:rPr>
              <w:t xml:space="preserve">6–10 pipa · Jelentős kockázat</w:t>
            </w:r>
          </w:p>
        </w:tc>
        <w:tc>
          <w:tcPr>
            <w:tcW w:type="dxa" w:w="6546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color w:val="2B2B2B"/>
                <w:sz w:val="19"/>
                <w:szCs w:val="19"/>
              </w:rPr>
              <w:t xml:space="preserve">A szervezet több ponton sem látja át, hogyan és milyen alapon döntenek a rendszerei. Sürgős rendrakás indokolt.</w:t>
            </w:r>
          </w:p>
        </w:tc>
      </w:tr>
      <w:tr>
        <w:tc>
          <w:tcPr>
            <w:tcW w:type="dxa" w:w="3200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C2A4A"/>
                <w:sz w:val="19"/>
                <w:szCs w:val="19"/>
              </w:rPr>
              <w:t xml:space="preserve">0–5 pipa · Magas kockázat</w:t>
            </w:r>
          </w:p>
        </w:tc>
        <w:tc>
          <w:tcPr>
            <w:tcW w:type="dxa" w:w="6546"/>
            <w:tcBorders>
              <w:top w:val="none"/>
              <w:left w:val="none"/>
              <w:bottom w:val="single" w:color="EDE9E1" w:sz="4"/>
              <w:right w:val="none"/>
            </w:tcBorders>
            <w:tcMar>
              <w:top w:type="dxa" w:w="80"/>
              <w:left w:type="dxa" w:w="0"/>
              <w:bottom w:type="dxa" w:w="80"/>
              <w:right w:type="dxa" w:w="0"/>
            </w:tcMar>
          </w:tcPr>
          <w:p>
            <w:r>
              <w:rPr>
                <w:rFonts w:ascii="Arial" w:cs="Arial" w:eastAsia="Arial" w:hAnsi="Arial"/>
                <w:color w:val="2B2B2B"/>
                <w:sz w:val="19"/>
                <w:szCs w:val="19"/>
              </w:rPr>
              <w:t xml:space="preserve">A cég gyakorlatilag nem tudja, milyen döntéseket hoznak a nevében. Ezt kiemelt prioritásként érdemes kezelni.</w:t>
            </w:r>
          </w:p>
        </w:tc>
      </w:tr>
    </w:tbl>
    <w:p>
      <w:pPr>
        <w:spacing w:before="160"/>
      </w:pPr>
    </w:p>
    <w:tbl>
      <w:tblPr>
        <w:tblW w:type="dxa" w:w="9746"/>
        <w:tblBorders>
          <w:top w:val="single" w:color="B5894C" w:sz="2"/>
          <w:left w:val="single" w:color="B5894C" w:sz="12"/>
          <w:bottom w:val="single" w:color="B5894C" w:sz="2"/>
          <w:right w:val="single" w:color="B5894C" w:sz="2"/>
          <w:insideH w:val="none"/>
          <w:insideV w:val="none"/>
        </w:tblBorders>
      </w:tblPr>
      <w:tblGrid>
        <w:gridCol w:w="9746"/>
      </w:tblGrid>
      <w:tr>
        <w:tc>
          <w:tcPr>
            <w:tcW w:type="dxa" w:w="9746"/>
            <w:shd w:fill="F7F4EF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2A4A"/>
                <w:sz w:val="22"/>
                <w:szCs w:val="22"/>
              </w:rPr>
              <w:t xml:space="preserve">A következő lépés</w:t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color w:val="2B2B2B"/>
                <w:sz w:val="20"/>
                <w:szCs w:val="20"/>
              </w:rPr>
              <w:t xml:space="preserve">Ha a kérdések több ponton is bizonytalanságot mutattak, érdemes egy célzott MI-átvilágítással kezdeni: leltár, felelős kijelölése, a kritikus döntések felülvizsgálati rendje és a beszállítói szerződések rendezése. Ezekben készséggel segítünk.  [Elérhetőség / weboldal helye]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DE9E1" w:sz="4" w:space="6"/>
      </w:pBdr>
      <w:tabs>
        <w:tab w:val="right" w:pos="9746"/>
      </w:tabs>
    </w:pPr>
    <w:r>
      <w:rPr>
        <w:rFonts w:ascii="Arial" w:cs="Arial" w:eastAsia="Arial" w:hAnsi="Arial"/>
        <w:color w:val="6B6F76"/>
        <w:sz w:val="14"/>
        <w:szCs w:val="14"/>
      </w:rPr>
      <w:t xml:space="preserve">[Iroda neve]  ·  [weboldal]   |   Általános tájékoztatás, amely nem minősül konkrét jogi tanácsadásnak.</w:t>
    </w:r>
    <w:r>
      <w:rPr>
        <w:sz w:val="14"/>
        <w:szCs w:val="14"/>
      </w:rPr>
      <w:tab/>
    </w:r>
    <w:r>
      <w:rPr>
        <w:rFonts w:ascii="Arial" w:cs="Arial" w:eastAsia="Arial" w:hAnsi="Arial"/>
        <w:color w:val="6B6F7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color w:val="6B6F76"/>
        <w:sz w:val="16"/>
        <w:szCs w:val="16"/>
      </w:rPr>
      <w:t xml:space="preserve">[ LOGO / IRODA NEVE ]</w:t>
    </w:r>
  </w:p>
  <w:p>
    <w:pPr>
      <w:pBdr>
        <w:bottom w:val="single" w:color="1C2A4A" w:sz="8" w:space="1"/>
      </w:pBdr>
      <w:spacing w:after="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60" w:before="120"/>
      <w:outlineLvl w:val="0"/>
    </w:pPr>
    <w:rPr>
      <w:rFonts w:ascii="Arial" w:cs="Arial" w:eastAsia="Arial" w:hAnsi="Arial"/>
      <w:b/>
      <w:bCs/>
      <w:color w:val="1C2A4A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80" w:before="260"/>
      <w:outlineLvl w:val="1"/>
    </w:pPr>
    <w:rPr>
      <w:rFonts w:ascii="Arial" w:cs="Arial" w:eastAsia="Arial" w:hAnsi="Arial"/>
      <w:b/>
      <w:bCs/>
      <w:color w:val="1C2A4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2026-06-24T09:21:56.039Z</dcterms:created>
  <dcterms:modified xsi:type="dcterms:W3CDTF">2026-06-24T09:21:56.039Z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